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verflowPunct w:val="0"/>
        <w:spacing w:line="600" w:lineRule="exact"/>
        <w:rPr>
          <w:rFonts w:hint="eastAsia" w:ascii="黑体" w:hAnsi="黑体" w:eastAsia="黑体" w:cs="黑体"/>
          <w:spacing w:val="-4"/>
          <w:sz w:val="36"/>
          <w:szCs w:val="32"/>
        </w:rPr>
      </w:pPr>
      <w:r>
        <w:rPr>
          <w:rFonts w:hint="eastAsia" w:ascii="黑体" w:hAnsi="黑体" w:eastAsia="黑体" w:cs="黑体"/>
          <w:sz w:val="32"/>
          <w:szCs w:val="30"/>
        </w:rPr>
        <w:t>附件1-2</w:t>
      </w:r>
    </w:p>
    <w:p>
      <w:pPr>
        <w:overflowPunct w:val="0"/>
        <w:spacing w:line="600" w:lineRule="exact"/>
        <w:ind w:left="-21" w:leftChars="-10" w:right="42" w:rightChars="20"/>
        <w:rPr>
          <w:rFonts w:ascii="仿宋_GB2312" w:eastAsia="仿宋_GB2312"/>
          <w:spacing w:val="-4"/>
          <w:sz w:val="32"/>
          <w:szCs w:val="32"/>
        </w:rPr>
      </w:pPr>
    </w:p>
    <w:p>
      <w:pPr>
        <w:pStyle w:val="2"/>
        <w:overflowPunct w:val="0"/>
        <w:spacing w:line="600" w:lineRule="exact"/>
        <w:rPr>
          <w:rFonts w:ascii="方正小标宋简体" w:eastAsia="方正小标宋简体"/>
          <w:b w:val="0"/>
        </w:rPr>
      </w:pPr>
      <w:bookmarkStart w:id="0" w:name="_GoBack"/>
      <w:r>
        <w:rPr>
          <w:rFonts w:hint="eastAsia" w:ascii="方正小标宋简体" w:eastAsia="方正小标宋简体"/>
          <w:b w:val="0"/>
        </w:rPr>
        <w:t>项目事前绩效评估资料准备清单</w:t>
      </w:r>
    </w:p>
    <w:bookmarkEnd w:id="0"/>
    <w:p>
      <w:pPr>
        <w:pStyle w:val="7"/>
        <w:overflowPunct w:val="0"/>
        <w:spacing w:before="157" w:after="315" w:afterLines="100" w:line="60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（参考范本）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一、项目单位需填报的资料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1.事前绩效评估项目申报书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2.事前绩效评估绩效目标申报表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二、项目单位需准备的资料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1.背景及发展规划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（1）国家及山东省相关法律、法规和规章制度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（2）国家及山东省确定的大政方针、政策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（3）部门或行业的发展规划（计划）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2.申请材料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（1）实施方案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（2）可行性研究报告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（3）立项专家论证意见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（4）初步设计资料或总体设计、初步设计图纸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3.预算测算材料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（1）项目预算及明细、项目预算测算说明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（2）主要材料、设备的名称、型号、规格品牌、生产厂家、价格及依据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（3）工程预算定额、取费标准及行业主管部门制定的相关专业定额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（4）反映测算依据的其他相关文件规定</w:t>
      </w:r>
    </w:p>
    <w:p>
      <w:pPr>
        <w:overflowPunct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4.与项目设立和预算有关的其他材料</w:t>
      </w:r>
    </w:p>
    <w:p>
      <w:pPr>
        <w:pStyle w:val="8"/>
        <w:overflowPunct w:val="0"/>
        <w:spacing w:line="600" w:lineRule="exact"/>
        <w:ind w:right="0"/>
      </w:pPr>
    </w:p>
    <w:p/>
    <w:sectPr>
      <w:footerReference r:id="rId3" w:type="default"/>
      <w:pgSz w:w="11906" w:h="16838"/>
      <w:pgMar w:top="1701" w:right="1474" w:bottom="1701" w:left="1474" w:header="851" w:footer="1361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717A"/>
    <w:rsid w:val="6D535020"/>
    <w:rsid w:val="78C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12" w:lineRule="auto"/>
      <w:jc w:val="center"/>
      <w:outlineLvl w:val="1"/>
    </w:pPr>
    <w:rPr>
      <w:rFonts w:ascii="Cambria" w:hAnsi="Cambria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6">
    <w:name w:val="无缩进"/>
    <w:basedOn w:val="1"/>
    <w:qFormat/>
    <w:uiPriority w:val="0"/>
    <w:pPr>
      <w:spacing w:line="312" w:lineRule="auto"/>
    </w:pPr>
    <w:rPr>
      <w:sz w:val="24"/>
      <w:szCs w:val="22"/>
    </w:rPr>
  </w:style>
  <w:style w:type="paragraph" w:customStyle="1" w:styleId="7">
    <w:name w:val="No Spacing"/>
    <w:qFormat/>
    <w:uiPriority w:val="0"/>
    <w:pPr>
      <w:widowControl w:val="0"/>
      <w:spacing w:beforeLines="50"/>
      <w:jc w:val="center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2021-09-27T08:11:00Z</dcterms:created>
  <dc:creator>Administrator</dc:creator>
  <cp:lastModifiedBy>Administrator</cp:lastModifiedBy>
  <dcterms:modified xsi:type="dcterms:W3CDTF">2021-09-27T08:12:04Z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