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082" w:rsidRPr="009B1ECF" w:rsidRDefault="00A42082" w:rsidP="00634ACA">
      <w:pPr>
        <w:spacing w:beforeLines="50" w:before="156" w:afterLines="50" w:after="156"/>
        <w:jc w:val="center"/>
        <w:rPr>
          <w:rFonts w:ascii="仿宋_GB2312" w:eastAsia="仿宋_GB2312" w:hAnsi="仿宋_GB2312" w:cs="仿宋_GB2312"/>
          <w:b/>
          <w:color w:val="333333"/>
          <w:kern w:val="0"/>
          <w:sz w:val="32"/>
          <w:szCs w:val="32"/>
          <w:shd w:val="clear" w:color="auto" w:fill="FFFFFF"/>
          <w:lang w:bidi="ar"/>
        </w:rPr>
      </w:pPr>
      <w:bookmarkStart w:id="0" w:name="_GoBack"/>
      <w:r w:rsidRPr="009B1ECF">
        <w:rPr>
          <w:rFonts w:ascii="仿宋_GB2312" w:eastAsia="仿宋_GB2312" w:hAnsi="仿宋_GB2312" w:cs="仿宋_GB2312" w:hint="eastAsia"/>
          <w:b/>
          <w:color w:val="333333"/>
          <w:kern w:val="0"/>
          <w:sz w:val="32"/>
          <w:szCs w:val="32"/>
          <w:shd w:val="clear" w:color="auto" w:fill="FFFFFF"/>
          <w:lang w:bidi="ar"/>
        </w:rPr>
        <w:t>关于202</w:t>
      </w:r>
      <w:r w:rsidR="009B1ECF">
        <w:rPr>
          <w:rFonts w:ascii="仿宋_GB2312" w:eastAsia="仿宋_GB2312" w:hAnsi="仿宋_GB2312" w:cs="仿宋_GB2312"/>
          <w:b/>
          <w:color w:val="333333"/>
          <w:kern w:val="0"/>
          <w:sz w:val="32"/>
          <w:szCs w:val="32"/>
          <w:shd w:val="clear" w:color="auto" w:fill="FFFFFF"/>
          <w:lang w:bidi="ar"/>
        </w:rPr>
        <w:t>2</w:t>
      </w:r>
      <w:r w:rsidRPr="009B1ECF">
        <w:rPr>
          <w:rFonts w:ascii="仿宋_GB2312" w:eastAsia="仿宋_GB2312" w:hAnsi="仿宋_GB2312" w:cs="仿宋_GB2312" w:hint="eastAsia"/>
          <w:b/>
          <w:color w:val="333333"/>
          <w:kern w:val="0"/>
          <w:sz w:val="32"/>
          <w:szCs w:val="32"/>
          <w:shd w:val="clear" w:color="auto" w:fill="FFFFFF"/>
          <w:lang w:bidi="ar"/>
        </w:rPr>
        <w:t>年个人所得税专项附加信息扣除申报</w:t>
      </w:r>
      <w:r w:rsidR="00E16EB6">
        <w:rPr>
          <w:rFonts w:ascii="仿宋_GB2312" w:eastAsia="仿宋_GB2312" w:hAnsi="仿宋_GB2312" w:cs="仿宋_GB2312" w:hint="eastAsia"/>
          <w:b/>
          <w:color w:val="333333"/>
          <w:kern w:val="0"/>
          <w:sz w:val="32"/>
          <w:szCs w:val="32"/>
          <w:shd w:val="clear" w:color="auto" w:fill="FFFFFF"/>
          <w:lang w:bidi="ar"/>
        </w:rPr>
        <w:t>确认</w:t>
      </w:r>
      <w:r w:rsidRPr="009B1ECF">
        <w:rPr>
          <w:rFonts w:ascii="仿宋_GB2312" w:eastAsia="仿宋_GB2312" w:hAnsi="仿宋_GB2312" w:cs="仿宋_GB2312" w:hint="eastAsia"/>
          <w:b/>
          <w:color w:val="333333"/>
          <w:kern w:val="0"/>
          <w:sz w:val="32"/>
          <w:szCs w:val="32"/>
          <w:shd w:val="clear" w:color="auto" w:fill="FFFFFF"/>
          <w:lang w:bidi="ar"/>
        </w:rPr>
        <w:t>的通知</w:t>
      </w:r>
    </w:p>
    <w:bookmarkEnd w:id="0"/>
    <w:p w:rsidR="00A42082" w:rsidRPr="006336CA" w:rsidRDefault="00A42082" w:rsidP="006336CA">
      <w:pPr>
        <w:ind w:firstLineChars="200" w:firstLine="600"/>
        <w:rPr>
          <w:rFonts w:ascii="仿宋_GB2312" w:eastAsia="仿宋_GB2312" w:hAnsi="仿宋_GB2312" w:cs="仿宋_GB2312"/>
          <w:color w:val="333333"/>
          <w:kern w:val="0"/>
          <w:sz w:val="30"/>
          <w:szCs w:val="30"/>
          <w:shd w:val="clear" w:color="auto" w:fill="FFFFFF"/>
          <w:lang w:bidi="ar"/>
        </w:rPr>
      </w:pPr>
      <w:r w:rsidRPr="006336CA">
        <w:rPr>
          <w:rFonts w:ascii="仿宋_GB2312" w:eastAsia="仿宋_GB2312" w:hAnsi="仿宋_GB2312" w:cs="仿宋_GB2312"/>
          <w:color w:val="333333"/>
          <w:kern w:val="0"/>
          <w:sz w:val="30"/>
          <w:szCs w:val="30"/>
          <w:shd w:val="clear" w:color="auto" w:fill="FFFFFF"/>
          <w:lang w:bidi="ar"/>
        </w:rPr>
        <w:t>2022年个人所得税专项附加扣除信息已开始确认，12月31日截止。为了能够在2022年继续享受专项附加扣除的政策红利，纳税人需对2022年的个税专项附加扣除信息进行确认，否则可能影响明年到手工资。</w:t>
      </w:r>
    </w:p>
    <w:p w:rsidR="00A42082" w:rsidRPr="009B1ECF" w:rsidRDefault="00A42082" w:rsidP="006336CA">
      <w:pPr>
        <w:ind w:firstLineChars="200" w:firstLine="602"/>
        <w:rPr>
          <w:rFonts w:ascii="仿宋_GB2312" w:eastAsia="仿宋_GB2312" w:hAnsi="仿宋_GB2312" w:cs="仿宋_GB2312"/>
          <w:b/>
          <w:color w:val="333333"/>
          <w:kern w:val="0"/>
          <w:sz w:val="30"/>
          <w:szCs w:val="30"/>
          <w:shd w:val="clear" w:color="auto" w:fill="FFFFFF"/>
          <w:lang w:bidi="ar"/>
        </w:rPr>
      </w:pPr>
      <w:r w:rsidRPr="009B1ECF">
        <w:rPr>
          <w:rFonts w:ascii="仿宋_GB2312" w:eastAsia="仿宋_GB2312" w:hAnsi="仿宋_GB2312" w:cs="仿宋_GB2312" w:hint="eastAsia"/>
          <w:b/>
          <w:color w:val="333333"/>
          <w:kern w:val="0"/>
          <w:sz w:val="30"/>
          <w:szCs w:val="30"/>
          <w:shd w:val="clear" w:color="auto" w:fill="FFFFFF"/>
          <w:lang w:bidi="ar"/>
        </w:rPr>
        <w:t>一、</w:t>
      </w:r>
      <w:r w:rsidR="009B1ECF" w:rsidRPr="009B1ECF">
        <w:rPr>
          <w:rFonts w:ascii="仿宋_GB2312" w:eastAsia="仿宋_GB2312" w:hAnsi="仿宋_GB2312" w:cs="仿宋_GB2312" w:hint="eastAsia"/>
          <w:b/>
          <w:color w:val="333333"/>
          <w:kern w:val="0"/>
          <w:sz w:val="30"/>
          <w:szCs w:val="30"/>
          <w:shd w:val="clear" w:color="auto" w:fill="FFFFFF"/>
          <w:lang w:bidi="ar"/>
        </w:rPr>
        <w:t>具体</w:t>
      </w:r>
      <w:r w:rsidRPr="009B1ECF">
        <w:rPr>
          <w:rFonts w:ascii="仿宋_GB2312" w:eastAsia="仿宋_GB2312" w:hAnsi="仿宋_GB2312" w:cs="仿宋_GB2312"/>
          <w:b/>
          <w:color w:val="333333"/>
          <w:kern w:val="0"/>
          <w:sz w:val="30"/>
          <w:szCs w:val="30"/>
          <w:shd w:val="clear" w:color="auto" w:fill="FFFFFF"/>
          <w:lang w:bidi="ar"/>
        </w:rPr>
        <w:t>操作</w:t>
      </w:r>
    </w:p>
    <w:p w:rsidR="00A42082" w:rsidRPr="006336CA" w:rsidRDefault="00A42082" w:rsidP="006336CA">
      <w:pPr>
        <w:ind w:firstLineChars="200" w:firstLine="600"/>
        <w:rPr>
          <w:rFonts w:ascii="仿宋_GB2312" w:eastAsia="仿宋_GB2312" w:hAnsi="仿宋_GB2312" w:cs="仿宋_GB2312"/>
          <w:color w:val="333333"/>
          <w:kern w:val="0"/>
          <w:sz w:val="30"/>
          <w:szCs w:val="30"/>
          <w:shd w:val="clear" w:color="auto" w:fill="FFFFFF"/>
          <w:lang w:bidi="ar"/>
        </w:rPr>
      </w:pPr>
      <w:r w:rsidRPr="006336CA">
        <w:rPr>
          <w:rFonts w:ascii="仿宋_GB2312" w:eastAsia="仿宋_GB2312" w:hAnsi="仿宋_GB2312" w:cs="仿宋_GB2312"/>
          <w:color w:val="333333"/>
          <w:kern w:val="0"/>
          <w:sz w:val="30"/>
          <w:szCs w:val="30"/>
          <w:shd w:val="clear" w:color="auto" w:fill="FFFFFF"/>
          <w:lang w:bidi="ar"/>
        </w:rPr>
        <w:t>纳税人可以通过手机下载个人所得税App或者电脑端进入“自然人电子税务局”官网两种方式进行确认。</w:t>
      </w:r>
    </w:p>
    <w:p w:rsidR="00A42082" w:rsidRPr="006336CA" w:rsidRDefault="00A42082" w:rsidP="006336CA">
      <w:pPr>
        <w:ind w:firstLineChars="200" w:firstLine="602"/>
        <w:rPr>
          <w:rFonts w:ascii="仿宋_GB2312" w:eastAsia="仿宋_GB2312" w:hAnsi="仿宋_GB2312" w:cs="仿宋_GB2312"/>
          <w:color w:val="333333"/>
          <w:kern w:val="0"/>
          <w:sz w:val="30"/>
          <w:szCs w:val="30"/>
          <w:shd w:val="clear" w:color="auto" w:fill="FFFFFF"/>
          <w:lang w:bidi="ar"/>
        </w:rPr>
      </w:pPr>
      <w:r w:rsidRPr="009B1ECF">
        <w:rPr>
          <w:rFonts w:ascii="仿宋_GB2312" w:eastAsia="仿宋_GB2312" w:hAnsi="仿宋_GB2312" w:cs="仿宋_GB2312"/>
          <w:b/>
          <w:color w:val="333333"/>
          <w:kern w:val="0"/>
          <w:sz w:val="30"/>
          <w:szCs w:val="30"/>
          <w:shd w:val="clear" w:color="auto" w:fill="FFFFFF"/>
          <w:lang w:bidi="ar"/>
        </w:rPr>
        <w:t>情形一：</w:t>
      </w:r>
      <w:r w:rsidRPr="006336CA">
        <w:rPr>
          <w:rFonts w:ascii="仿宋_GB2312" w:eastAsia="仿宋_GB2312" w:hAnsi="仿宋_GB2312" w:cs="仿宋_GB2312"/>
          <w:color w:val="333333"/>
          <w:kern w:val="0"/>
          <w:sz w:val="30"/>
          <w:szCs w:val="30"/>
          <w:shd w:val="clear" w:color="auto" w:fill="FFFFFF"/>
          <w:lang w:bidi="ar"/>
        </w:rPr>
        <w:t>如果2022年度专项附加扣除信息没有变动，纳税人只需在2021年度的基础上进行确认即可。打开个人所得税App首页，选择“了解一下”或者“专项附加扣除填报”，点击“一键带入”，再选择扣除年度2022，根据提示“将带入2021年度信息，请确认是否继续？”或“您在2022年度已存在专项附加扣除信息，如果继续确认，将覆盖已存在的专项附加扣除信息！”确认后点击确定。打开待确认状态的专项附加扣除，核对信息：如有修改可以点击修改，信息确认后点击一键确认。（注意：如有“已失效”状态的信息，则需要先删除之后才能点击“一键确认”。）</w:t>
      </w:r>
    </w:p>
    <w:p w:rsidR="00A42082" w:rsidRPr="006336CA" w:rsidRDefault="00A42082" w:rsidP="006336CA">
      <w:pPr>
        <w:ind w:firstLineChars="200" w:firstLine="602"/>
        <w:rPr>
          <w:rFonts w:ascii="仿宋_GB2312" w:eastAsia="仿宋_GB2312" w:hAnsi="仿宋_GB2312" w:cs="仿宋_GB2312"/>
          <w:color w:val="333333"/>
          <w:kern w:val="0"/>
          <w:sz w:val="30"/>
          <w:szCs w:val="30"/>
          <w:shd w:val="clear" w:color="auto" w:fill="FFFFFF"/>
          <w:lang w:bidi="ar"/>
        </w:rPr>
      </w:pPr>
      <w:r w:rsidRPr="009B1ECF">
        <w:rPr>
          <w:rFonts w:ascii="仿宋_GB2312" w:eastAsia="仿宋_GB2312" w:hAnsi="仿宋_GB2312" w:cs="仿宋_GB2312"/>
          <w:b/>
          <w:color w:val="333333"/>
          <w:kern w:val="0"/>
          <w:sz w:val="30"/>
          <w:szCs w:val="30"/>
          <w:shd w:val="clear" w:color="auto" w:fill="FFFFFF"/>
          <w:lang w:bidi="ar"/>
        </w:rPr>
        <w:t>情形二：</w:t>
      </w:r>
      <w:r w:rsidRPr="006336CA">
        <w:rPr>
          <w:rFonts w:ascii="仿宋_GB2312" w:eastAsia="仿宋_GB2312" w:hAnsi="仿宋_GB2312" w:cs="仿宋_GB2312"/>
          <w:color w:val="333333"/>
          <w:kern w:val="0"/>
          <w:sz w:val="30"/>
          <w:szCs w:val="30"/>
          <w:shd w:val="clear" w:color="auto" w:fill="FFFFFF"/>
          <w:lang w:bidi="ar"/>
        </w:rPr>
        <w:t>如果需要修改申报方式、扣除比例等，则需要点击“待确认”之后进入界面进行修改。如果需要修改基本信息，应先进入2021年信息界面，修改后重新确认。</w:t>
      </w:r>
    </w:p>
    <w:p w:rsidR="00040099" w:rsidRDefault="00A42082" w:rsidP="006336CA">
      <w:pPr>
        <w:ind w:firstLineChars="200" w:firstLine="602"/>
        <w:rPr>
          <w:rFonts w:ascii="仿宋_GB2312" w:eastAsia="仿宋_GB2312" w:hAnsi="仿宋_GB2312" w:cs="仿宋_GB2312"/>
          <w:color w:val="333333"/>
          <w:kern w:val="0"/>
          <w:sz w:val="30"/>
          <w:szCs w:val="30"/>
          <w:shd w:val="clear" w:color="auto" w:fill="FFFFFF"/>
          <w:lang w:bidi="ar"/>
        </w:rPr>
      </w:pPr>
      <w:r w:rsidRPr="009B1ECF">
        <w:rPr>
          <w:rFonts w:ascii="仿宋_GB2312" w:eastAsia="仿宋_GB2312" w:hAnsi="仿宋_GB2312" w:cs="仿宋_GB2312"/>
          <w:b/>
          <w:color w:val="333333"/>
          <w:kern w:val="0"/>
          <w:sz w:val="30"/>
          <w:szCs w:val="30"/>
          <w:shd w:val="clear" w:color="auto" w:fill="FFFFFF"/>
          <w:lang w:bidi="ar"/>
        </w:rPr>
        <w:t>情形三：</w:t>
      </w:r>
      <w:r w:rsidRPr="006336CA">
        <w:rPr>
          <w:rFonts w:ascii="仿宋_GB2312" w:eastAsia="仿宋_GB2312" w:hAnsi="仿宋_GB2312" w:cs="仿宋_GB2312"/>
          <w:color w:val="333333"/>
          <w:kern w:val="0"/>
          <w:sz w:val="30"/>
          <w:szCs w:val="30"/>
          <w:shd w:val="clear" w:color="auto" w:fill="FFFFFF"/>
          <w:lang w:bidi="ar"/>
        </w:rPr>
        <w:t>如果2022年需要新增专项附加扣除项目，先按照</w:t>
      </w:r>
      <w:r w:rsidRPr="006336CA">
        <w:rPr>
          <w:rFonts w:ascii="仿宋_GB2312" w:eastAsia="仿宋_GB2312" w:hAnsi="仿宋_GB2312" w:cs="仿宋_GB2312"/>
          <w:color w:val="333333"/>
          <w:kern w:val="0"/>
          <w:sz w:val="30"/>
          <w:szCs w:val="30"/>
          <w:shd w:val="clear" w:color="auto" w:fill="FFFFFF"/>
          <w:lang w:bidi="ar"/>
        </w:rPr>
        <w:lastRenderedPageBreak/>
        <w:t>情形一步骤确认之前申报的其他不需要修改的专项附加扣除信息后，点击首页，专项附加扣除填报。</w:t>
      </w:r>
    </w:p>
    <w:p w:rsidR="009B1ECF" w:rsidRDefault="009B1ECF" w:rsidP="006336CA">
      <w:pPr>
        <w:ind w:firstLineChars="200" w:firstLine="600"/>
        <w:rPr>
          <w:rFonts w:ascii="仿宋_GB2312" w:eastAsia="仿宋_GB2312" w:hAnsi="仿宋_GB2312" w:cs="仿宋_GB2312"/>
          <w:color w:val="333333"/>
          <w:kern w:val="0"/>
          <w:sz w:val="30"/>
          <w:szCs w:val="30"/>
          <w:shd w:val="clear" w:color="auto" w:fill="FFFFFF"/>
          <w:lang w:bidi="ar"/>
        </w:rPr>
      </w:pPr>
    </w:p>
    <w:p w:rsidR="009B1ECF" w:rsidRPr="006336CA" w:rsidRDefault="009B1ECF" w:rsidP="006336CA">
      <w:pPr>
        <w:ind w:firstLineChars="200" w:firstLine="600"/>
        <w:rPr>
          <w:rFonts w:ascii="仿宋_GB2312" w:eastAsia="仿宋_GB2312" w:hAnsi="仿宋_GB2312" w:cs="仿宋_GB2312"/>
          <w:color w:val="333333"/>
          <w:kern w:val="0"/>
          <w:sz w:val="30"/>
          <w:szCs w:val="30"/>
          <w:shd w:val="clear" w:color="auto" w:fill="FFFFFF"/>
          <w:lang w:bidi="ar"/>
        </w:rPr>
      </w:pPr>
    </w:p>
    <w:p w:rsidR="006336CA" w:rsidRDefault="006336CA" w:rsidP="006336CA">
      <w:pPr>
        <w:rPr>
          <w:rFonts w:ascii="宋体" w:hAnsi="宋体" w:cs="宋体"/>
          <w:sz w:val="32"/>
          <w:szCs w:val="32"/>
        </w:rPr>
      </w:pPr>
      <w:r>
        <w:rPr>
          <w:rFonts w:ascii="宋体" w:hAnsi="宋体" w:cs="宋体" w:hint="eastAsia"/>
          <w:sz w:val="32"/>
          <w:szCs w:val="32"/>
        </w:rPr>
        <w:t>附：   专项附加扣除具体内容及常见填报错误的情况</w:t>
      </w:r>
    </w:p>
    <w:p w:rsidR="006336CA" w:rsidRDefault="006336CA" w:rsidP="006336CA">
      <w:pPr>
        <w:numPr>
          <w:ilvl w:val="0"/>
          <w:numId w:val="1"/>
        </w:numPr>
        <w:rPr>
          <w:rFonts w:ascii="仿宋_GB2312" w:eastAsia="仿宋_GB2312" w:hAnsi="仿宋_GB2312" w:cs="仿宋_GB2312"/>
          <w:color w:val="333333"/>
          <w:kern w:val="0"/>
          <w:sz w:val="30"/>
          <w:szCs w:val="30"/>
          <w:shd w:val="clear" w:color="auto" w:fill="FFFFFF"/>
          <w:lang w:bidi="ar"/>
        </w:rPr>
      </w:pPr>
      <w:r>
        <w:rPr>
          <w:rFonts w:ascii="仿宋_GB2312" w:eastAsia="仿宋_GB2312" w:hAnsi="仿宋_GB2312" w:cs="仿宋_GB2312" w:hint="eastAsia"/>
          <w:color w:val="333333"/>
          <w:kern w:val="0"/>
          <w:sz w:val="30"/>
          <w:szCs w:val="30"/>
          <w:shd w:val="clear" w:color="auto" w:fill="FFFFFF"/>
          <w:lang w:bidi="ar"/>
        </w:rPr>
        <w:t>专项附加扣除</w:t>
      </w:r>
    </w:p>
    <w:p w:rsidR="006336CA" w:rsidRDefault="006336CA" w:rsidP="006336CA">
      <w:pPr>
        <w:ind w:firstLineChars="200" w:firstLine="600"/>
        <w:rPr>
          <w:rFonts w:ascii="仿宋_GB2312" w:eastAsia="仿宋_GB2312" w:hAnsi="仿宋_GB2312" w:cs="仿宋_GB2312"/>
          <w:color w:val="333333"/>
          <w:kern w:val="0"/>
          <w:sz w:val="30"/>
          <w:szCs w:val="30"/>
          <w:shd w:val="clear" w:color="auto" w:fill="FFFFFF"/>
          <w:lang w:bidi="ar"/>
        </w:rPr>
      </w:pPr>
      <w:r>
        <w:rPr>
          <w:rFonts w:ascii="仿宋_GB2312" w:eastAsia="仿宋_GB2312" w:hAnsi="仿宋_GB2312" w:cs="仿宋_GB2312" w:hint="eastAsia"/>
          <w:color w:val="333333"/>
          <w:kern w:val="0"/>
          <w:sz w:val="30"/>
          <w:szCs w:val="30"/>
          <w:shd w:val="clear" w:color="auto" w:fill="FFFFFF"/>
          <w:lang w:bidi="ar"/>
        </w:rPr>
        <w:t>个税专项附加扣除（全称：个人所得税专项附加扣除），是指个人所得税法规定的子女教育、继续教育、大病医疗、住房贷款利息、住房租金和赡养老人等六项专项附加扣除。是落实新修订的个人所得税法的配套措施之一。</w:t>
      </w:r>
    </w:p>
    <w:p w:rsidR="006336CA" w:rsidRDefault="006336CA" w:rsidP="006336CA">
      <w:pPr>
        <w:numPr>
          <w:ilvl w:val="0"/>
          <w:numId w:val="1"/>
        </w:numPr>
        <w:rPr>
          <w:rFonts w:ascii="仿宋_GB2312" w:eastAsia="仿宋_GB2312" w:hAnsi="仿宋_GB2312" w:cs="仿宋_GB2312"/>
          <w:color w:val="333333"/>
          <w:kern w:val="0"/>
          <w:sz w:val="30"/>
          <w:szCs w:val="30"/>
          <w:shd w:val="clear" w:color="auto" w:fill="FFFFFF"/>
          <w:lang w:bidi="ar"/>
        </w:rPr>
      </w:pPr>
      <w:r>
        <w:rPr>
          <w:rFonts w:ascii="仿宋_GB2312" w:eastAsia="仿宋_GB2312" w:hAnsi="仿宋_GB2312" w:cs="仿宋_GB2312" w:hint="eastAsia"/>
          <w:color w:val="333333"/>
          <w:kern w:val="0"/>
          <w:sz w:val="30"/>
          <w:szCs w:val="30"/>
          <w:shd w:val="clear" w:color="auto" w:fill="FFFFFF"/>
          <w:lang w:bidi="ar"/>
        </w:rPr>
        <w:t>常见填报错误的情况</w:t>
      </w:r>
    </w:p>
    <w:p w:rsidR="006336CA" w:rsidRDefault="006336CA" w:rsidP="006336CA">
      <w:pPr>
        <w:pStyle w:val="a5"/>
        <w:shd w:val="clear" w:color="auto" w:fill="FFFFFF"/>
        <w:spacing w:before="0" w:beforeAutospacing="0" w:after="0" w:afterAutospacing="0" w:line="555" w:lineRule="atLeast"/>
        <w:ind w:firstLine="645"/>
        <w:rPr>
          <w:rFonts w:ascii="微软雅黑" w:eastAsia="微软雅黑" w:hAnsi="微软雅黑" w:cs="微软雅黑"/>
          <w:color w:val="333333"/>
          <w:sz w:val="21"/>
          <w:szCs w:val="21"/>
        </w:rPr>
      </w:pPr>
      <w:r>
        <w:rPr>
          <w:rFonts w:ascii="仿宋_GB2312" w:eastAsia="仿宋_GB2312" w:hAnsi="仿宋_GB2312" w:cs="仿宋_GB2312" w:hint="eastAsia"/>
          <w:color w:val="333333"/>
          <w:sz w:val="30"/>
          <w:szCs w:val="30"/>
          <w:shd w:val="clear" w:color="auto" w:fill="FFFFFF"/>
        </w:rPr>
        <w:t>（一）填写信息错误</w:t>
      </w:r>
    </w:p>
    <w:p w:rsidR="006336CA" w:rsidRDefault="006336CA" w:rsidP="006336CA">
      <w:pPr>
        <w:pStyle w:val="a5"/>
        <w:shd w:val="clear" w:color="auto" w:fill="FFFFFF"/>
        <w:spacing w:before="0" w:beforeAutospacing="0" w:after="0" w:afterAutospacing="0" w:line="555" w:lineRule="atLeast"/>
        <w:ind w:firstLine="645"/>
        <w:rPr>
          <w:rFonts w:ascii="微软雅黑" w:eastAsia="微软雅黑" w:hAnsi="微软雅黑" w:cs="微软雅黑"/>
          <w:color w:val="333333"/>
          <w:sz w:val="21"/>
          <w:szCs w:val="21"/>
        </w:rPr>
      </w:pPr>
      <w:r>
        <w:rPr>
          <w:rFonts w:ascii="仿宋_GB2312" w:eastAsia="仿宋_GB2312" w:hAnsi="仿宋_GB2312" w:cs="仿宋_GB2312" w:hint="eastAsia"/>
          <w:color w:val="333333"/>
          <w:sz w:val="30"/>
          <w:szCs w:val="30"/>
          <w:shd w:val="clear" w:color="auto" w:fill="FFFFFF"/>
        </w:rPr>
        <w:t>1.家庭成员信息错误。填写的配偶、子女、老人的家庭关系、身份证件类型及号码、姓名、国籍等信息，与公安、民政等相关部门信息不一致。</w:t>
      </w:r>
    </w:p>
    <w:p w:rsidR="006336CA" w:rsidRDefault="006336CA" w:rsidP="006336CA">
      <w:pPr>
        <w:pStyle w:val="a5"/>
        <w:shd w:val="clear" w:color="auto" w:fill="FFFFFF"/>
        <w:spacing w:before="0" w:beforeAutospacing="0" w:after="0" w:afterAutospacing="0" w:line="555" w:lineRule="atLeast"/>
        <w:ind w:firstLine="645"/>
        <w:rPr>
          <w:rFonts w:ascii="微软雅黑" w:eastAsia="微软雅黑" w:hAnsi="微软雅黑" w:cs="微软雅黑"/>
          <w:color w:val="333333"/>
          <w:sz w:val="21"/>
          <w:szCs w:val="21"/>
        </w:rPr>
      </w:pPr>
      <w:r>
        <w:rPr>
          <w:rFonts w:ascii="仿宋_GB2312" w:eastAsia="仿宋_GB2312" w:hAnsi="仿宋_GB2312" w:cs="仿宋_GB2312" w:hint="eastAsia"/>
          <w:color w:val="333333"/>
          <w:sz w:val="30"/>
          <w:szCs w:val="30"/>
          <w:shd w:val="clear" w:color="auto" w:fill="FFFFFF"/>
        </w:rPr>
        <w:t>2.首套贷款信息错误。填写的产权证明、证书编号、贷款银行、贷款合同编号、首次还款日期、贷款期限等信息，与银行、公积金中心等部门信息不一致。</w:t>
      </w:r>
    </w:p>
    <w:p w:rsidR="006336CA" w:rsidRDefault="006336CA" w:rsidP="006336CA">
      <w:pPr>
        <w:pStyle w:val="a5"/>
        <w:shd w:val="clear" w:color="auto" w:fill="FFFFFF"/>
        <w:spacing w:before="0" w:beforeAutospacing="0" w:after="0" w:afterAutospacing="0" w:line="555" w:lineRule="atLeast"/>
        <w:ind w:firstLine="645"/>
        <w:rPr>
          <w:rFonts w:ascii="微软雅黑" w:eastAsia="微软雅黑" w:hAnsi="微软雅黑" w:cs="微软雅黑"/>
          <w:color w:val="333333"/>
          <w:sz w:val="21"/>
          <w:szCs w:val="21"/>
        </w:rPr>
      </w:pPr>
      <w:r>
        <w:rPr>
          <w:rFonts w:ascii="仿宋_GB2312" w:eastAsia="仿宋_GB2312" w:hAnsi="仿宋_GB2312" w:cs="仿宋_GB2312" w:hint="eastAsia"/>
          <w:color w:val="333333"/>
          <w:sz w:val="30"/>
          <w:szCs w:val="30"/>
          <w:shd w:val="clear" w:color="auto" w:fill="FFFFFF"/>
        </w:rPr>
        <w:t>3.职业资格证书信息错误。填写的职业资格证书类型、编号、名称、发证时间、发证机关等信息，与教育部门信息不一致。</w:t>
      </w:r>
    </w:p>
    <w:p w:rsidR="006336CA" w:rsidRDefault="006336CA" w:rsidP="006336CA">
      <w:pPr>
        <w:pStyle w:val="a5"/>
        <w:shd w:val="clear" w:color="auto" w:fill="FFFFFF"/>
        <w:spacing w:before="0" w:beforeAutospacing="0" w:after="0" w:afterAutospacing="0" w:line="555" w:lineRule="atLeast"/>
        <w:ind w:firstLine="645"/>
        <w:rPr>
          <w:rFonts w:ascii="微软雅黑" w:eastAsia="微软雅黑" w:hAnsi="微软雅黑" w:cs="微软雅黑"/>
          <w:color w:val="333333"/>
          <w:sz w:val="21"/>
          <w:szCs w:val="21"/>
        </w:rPr>
      </w:pPr>
      <w:r>
        <w:rPr>
          <w:rFonts w:ascii="仿宋_GB2312" w:eastAsia="仿宋_GB2312" w:hAnsi="仿宋_GB2312" w:cs="仿宋_GB2312" w:hint="eastAsia"/>
          <w:color w:val="333333"/>
          <w:sz w:val="30"/>
          <w:szCs w:val="30"/>
          <w:shd w:val="clear" w:color="auto" w:fill="FFFFFF"/>
        </w:rPr>
        <w:t>（二）超比例享受扣除错误</w:t>
      </w:r>
    </w:p>
    <w:tbl>
      <w:tblPr>
        <w:tblW w:w="8820" w:type="dxa"/>
        <w:jc w:val="center"/>
        <w:tblCellSpacing w:w="0" w:type="dxa"/>
        <w:shd w:val="clear" w:color="auto" w:fill="FFFFFF"/>
        <w:tblCellMar>
          <w:left w:w="0" w:type="dxa"/>
          <w:right w:w="0" w:type="dxa"/>
        </w:tblCellMar>
        <w:tblLook w:val="04A0" w:firstRow="1" w:lastRow="0" w:firstColumn="1" w:lastColumn="0" w:noHBand="0" w:noVBand="1"/>
      </w:tblPr>
      <w:tblGrid>
        <w:gridCol w:w="4860"/>
        <w:gridCol w:w="3960"/>
      </w:tblGrid>
      <w:tr w:rsidR="006336CA" w:rsidTr="006336CA">
        <w:trPr>
          <w:tblCellSpacing w:w="0" w:type="dxa"/>
          <w:jc w:val="center"/>
        </w:trPr>
        <w:tc>
          <w:tcPr>
            <w:tcW w:w="4860" w:type="dxa"/>
            <w:tcBorders>
              <w:top w:val="single" w:sz="4" w:space="0" w:color="auto"/>
              <w:left w:val="single" w:sz="6" w:space="0" w:color="auto"/>
              <w:bottom w:val="single" w:sz="4" w:space="0" w:color="auto"/>
              <w:right w:val="single" w:sz="4" w:space="0" w:color="auto"/>
            </w:tcBorders>
            <w:shd w:val="clear" w:color="auto" w:fill="FFFFFF"/>
            <w:tcMar>
              <w:top w:w="0" w:type="dxa"/>
              <w:left w:w="105" w:type="dxa"/>
              <w:bottom w:w="0" w:type="dxa"/>
              <w:right w:w="105" w:type="dxa"/>
            </w:tcMar>
            <w:hideMark/>
          </w:tcPr>
          <w:p w:rsidR="006336CA" w:rsidRDefault="006336CA">
            <w:pPr>
              <w:pStyle w:val="a5"/>
              <w:spacing w:before="0" w:beforeAutospacing="0" w:after="0" w:afterAutospacing="0" w:line="555" w:lineRule="atLeast"/>
              <w:ind w:firstLine="555"/>
              <w:jc w:val="center"/>
              <w:rPr>
                <w:rFonts w:ascii="微软雅黑" w:eastAsia="微软雅黑" w:hAnsi="微软雅黑" w:cs="微软雅黑"/>
                <w:color w:val="333333"/>
                <w:sz w:val="21"/>
                <w:szCs w:val="21"/>
              </w:rPr>
            </w:pPr>
            <w:r>
              <w:rPr>
                <w:rFonts w:ascii="仿宋_GB2312" w:eastAsia="仿宋_GB2312" w:hAnsi="仿宋_GB2312" w:cs="仿宋_GB2312" w:hint="eastAsia"/>
                <w:color w:val="333333"/>
                <w:sz w:val="30"/>
                <w:szCs w:val="30"/>
              </w:rPr>
              <w:lastRenderedPageBreak/>
              <w:t>扣除金额政策规定</w:t>
            </w:r>
          </w:p>
        </w:tc>
        <w:tc>
          <w:tcPr>
            <w:tcW w:w="396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6336CA" w:rsidRDefault="006336CA">
            <w:pPr>
              <w:pStyle w:val="a5"/>
              <w:spacing w:before="0" w:beforeAutospacing="0" w:after="0" w:afterAutospacing="0" w:line="555" w:lineRule="atLeast"/>
              <w:jc w:val="center"/>
              <w:rPr>
                <w:rFonts w:ascii="微软雅黑" w:eastAsia="微软雅黑" w:hAnsi="微软雅黑" w:cs="微软雅黑"/>
                <w:color w:val="333333"/>
                <w:sz w:val="21"/>
                <w:szCs w:val="21"/>
              </w:rPr>
            </w:pPr>
            <w:r>
              <w:rPr>
                <w:rFonts w:ascii="仿宋_GB2312" w:eastAsia="仿宋_GB2312" w:hAnsi="仿宋_GB2312" w:cs="仿宋_GB2312" w:hint="eastAsia"/>
                <w:color w:val="333333"/>
                <w:sz w:val="30"/>
                <w:szCs w:val="30"/>
              </w:rPr>
              <w:t>超比例享受扣除错误</w:t>
            </w:r>
          </w:p>
        </w:tc>
      </w:tr>
      <w:tr w:rsidR="006336CA" w:rsidTr="006336CA">
        <w:trPr>
          <w:trHeight w:hRule="exact" w:val="1610"/>
          <w:tblCellSpacing w:w="0" w:type="dxa"/>
          <w:jc w:val="center"/>
        </w:trPr>
        <w:tc>
          <w:tcPr>
            <w:tcW w:w="486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rsidR="006336CA" w:rsidRPr="009B1ECF" w:rsidRDefault="006336CA">
            <w:pPr>
              <w:spacing w:line="400" w:lineRule="exact"/>
              <w:ind w:firstLineChars="200" w:firstLine="560"/>
              <w:rPr>
                <w:rFonts w:ascii="Calibri" w:eastAsia="宋体" w:hAnsi="Calibri" w:cs="Times New Roman"/>
                <w:sz w:val="28"/>
                <w:szCs w:val="28"/>
              </w:rPr>
            </w:pPr>
            <w:r w:rsidRPr="009B1ECF">
              <w:rPr>
                <w:rFonts w:ascii="仿宋_GB2312" w:eastAsia="仿宋_GB2312" w:hAnsi="仿宋_GB2312" w:cs="仿宋_GB2312" w:hint="eastAsia"/>
                <w:color w:val="333333"/>
                <w:sz w:val="28"/>
                <w:szCs w:val="28"/>
              </w:rPr>
              <w:t>纳税人符合规定的子女教育支出，按照每个子女每月1000元的标准定额扣除，可一方100%扣除，也可双方各50%扣除。</w:t>
            </w:r>
          </w:p>
          <w:p w:rsidR="006336CA" w:rsidRDefault="006336CA">
            <w:pPr>
              <w:pStyle w:val="a5"/>
              <w:spacing w:before="0" w:beforeAutospacing="0" w:after="0" w:afterAutospacing="0" w:line="555" w:lineRule="atLeast"/>
              <w:ind w:firstLine="555"/>
              <w:rPr>
                <w:rFonts w:ascii="微软雅黑" w:eastAsia="微软雅黑" w:hAnsi="微软雅黑" w:cs="微软雅黑"/>
                <w:color w:val="333333"/>
                <w:sz w:val="21"/>
                <w:szCs w:val="21"/>
              </w:rPr>
            </w:pPr>
          </w:p>
        </w:tc>
        <w:tc>
          <w:tcPr>
            <w:tcW w:w="396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rsidR="006336CA" w:rsidRPr="009B1ECF" w:rsidRDefault="006336CA">
            <w:pPr>
              <w:spacing w:line="400" w:lineRule="exact"/>
              <w:ind w:firstLineChars="200" w:firstLine="560"/>
              <w:rPr>
                <w:rFonts w:ascii="仿宋_GB2312" w:eastAsia="仿宋_GB2312" w:hAnsi="仿宋_GB2312" w:cs="仿宋_GB2312"/>
                <w:color w:val="333333"/>
                <w:sz w:val="28"/>
                <w:szCs w:val="28"/>
              </w:rPr>
            </w:pPr>
            <w:r w:rsidRPr="009B1ECF">
              <w:rPr>
                <w:rFonts w:ascii="仿宋_GB2312" w:eastAsia="仿宋_GB2312" w:hAnsi="仿宋_GB2312" w:cs="仿宋_GB2312" w:hint="eastAsia"/>
                <w:color w:val="333333"/>
                <w:sz w:val="28"/>
                <w:szCs w:val="28"/>
              </w:rPr>
              <w:t>夫妻对同一个子女教育享受扣除额合计超过1000元。</w:t>
            </w:r>
          </w:p>
          <w:p w:rsidR="006336CA" w:rsidRPr="009B1ECF" w:rsidRDefault="006336CA">
            <w:pPr>
              <w:pStyle w:val="a5"/>
              <w:spacing w:before="0" w:beforeAutospacing="0" w:after="0" w:afterAutospacing="0" w:line="555" w:lineRule="atLeast"/>
              <w:ind w:firstLine="555"/>
              <w:rPr>
                <w:rFonts w:ascii="微软雅黑" w:eastAsia="微软雅黑" w:hAnsi="微软雅黑" w:cs="微软雅黑"/>
                <w:color w:val="333333"/>
                <w:sz w:val="28"/>
                <w:szCs w:val="28"/>
              </w:rPr>
            </w:pPr>
          </w:p>
        </w:tc>
      </w:tr>
      <w:tr w:rsidR="006336CA" w:rsidRPr="009B1ECF" w:rsidTr="006336CA">
        <w:trPr>
          <w:trHeight w:hRule="exact" w:val="1157"/>
          <w:tblCellSpacing w:w="0" w:type="dxa"/>
          <w:jc w:val="center"/>
        </w:trPr>
        <w:tc>
          <w:tcPr>
            <w:tcW w:w="486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rsidR="006336CA" w:rsidRPr="009B1ECF" w:rsidRDefault="006336CA">
            <w:pPr>
              <w:spacing w:line="400" w:lineRule="exact"/>
              <w:ind w:firstLineChars="200" w:firstLine="560"/>
              <w:rPr>
                <w:rFonts w:ascii="仿宋_GB2312" w:eastAsia="仿宋_GB2312" w:hAnsi="仿宋_GB2312" w:cs="仿宋_GB2312"/>
                <w:color w:val="333333"/>
                <w:sz w:val="28"/>
                <w:szCs w:val="28"/>
              </w:rPr>
            </w:pPr>
            <w:r w:rsidRPr="009B1ECF">
              <w:rPr>
                <w:rFonts w:ascii="仿宋_GB2312" w:eastAsia="仿宋_GB2312" w:hAnsi="仿宋_GB2312" w:cs="仿宋_GB2312" w:hint="eastAsia"/>
                <w:color w:val="333333"/>
                <w:sz w:val="28"/>
                <w:szCs w:val="28"/>
              </w:rPr>
              <w:t>纳税人符合规定的首套住房贷款利息支出，按照每月1000元的标准定额扣除。</w:t>
            </w:r>
          </w:p>
          <w:p w:rsidR="006336CA" w:rsidRPr="009B1ECF" w:rsidRDefault="006336CA">
            <w:pPr>
              <w:pStyle w:val="a5"/>
              <w:spacing w:before="0" w:beforeAutospacing="0" w:after="0" w:afterAutospacing="0" w:line="555" w:lineRule="atLeast"/>
              <w:ind w:firstLine="555"/>
              <w:rPr>
                <w:rFonts w:ascii="微软雅黑" w:eastAsia="微软雅黑" w:hAnsi="微软雅黑" w:cs="微软雅黑"/>
                <w:color w:val="333333"/>
                <w:sz w:val="28"/>
                <w:szCs w:val="28"/>
              </w:rPr>
            </w:pPr>
          </w:p>
        </w:tc>
        <w:tc>
          <w:tcPr>
            <w:tcW w:w="396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rsidR="006336CA" w:rsidRPr="009B1ECF" w:rsidRDefault="006336CA">
            <w:pPr>
              <w:spacing w:line="400" w:lineRule="exact"/>
              <w:rPr>
                <w:rFonts w:ascii="仿宋_GB2312" w:eastAsia="仿宋_GB2312" w:hAnsi="仿宋_GB2312" w:cs="仿宋_GB2312"/>
                <w:color w:val="333333"/>
                <w:sz w:val="28"/>
                <w:szCs w:val="28"/>
              </w:rPr>
            </w:pPr>
            <w:r w:rsidRPr="009B1ECF">
              <w:rPr>
                <w:rFonts w:ascii="仿宋_GB2312" w:eastAsia="仿宋_GB2312" w:hAnsi="仿宋_GB2312" w:cs="仿宋_GB2312" w:hint="eastAsia"/>
                <w:color w:val="333333"/>
                <w:sz w:val="28"/>
                <w:szCs w:val="28"/>
              </w:rPr>
              <w:t>夫妻同时享受住房贷款利息扣除，且合计超过1000元。</w:t>
            </w:r>
          </w:p>
          <w:p w:rsidR="006336CA" w:rsidRPr="009B1ECF" w:rsidRDefault="006336CA">
            <w:pPr>
              <w:pStyle w:val="a5"/>
              <w:spacing w:before="0" w:beforeAutospacing="0" w:after="0" w:afterAutospacing="0" w:line="555" w:lineRule="atLeast"/>
              <w:ind w:firstLine="555"/>
              <w:rPr>
                <w:rFonts w:ascii="微软雅黑" w:eastAsia="微软雅黑" w:hAnsi="微软雅黑" w:cs="微软雅黑"/>
                <w:color w:val="333333"/>
                <w:sz w:val="28"/>
                <w:szCs w:val="28"/>
              </w:rPr>
            </w:pPr>
          </w:p>
        </w:tc>
      </w:tr>
      <w:tr w:rsidR="006336CA" w:rsidRPr="009B1ECF" w:rsidTr="006336CA">
        <w:trPr>
          <w:trHeight w:hRule="exact" w:val="1610"/>
          <w:tblCellSpacing w:w="0" w:type="dxa"/>
          <w:jc w:val="center"/>
        </w:trPr>
        <w:tc>
          <w:tcPr>
            <w:tcW w:w="486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rsidR="006336CA" w:rsidRPr="009B1ECF" w:rsidRDefault="006336CA">
            <w:pPr>
              <w:spacing w:line="400" w:lineRule="exact"/>
              <w:ind w:firstLineChars="200" w:firstLine="560"/>
              <w:rPr>
                <w:rFonts w:ascii="仿宋_GB2312" w:eastAsia="仿宋_GB2312" w:hAnsi="仿宋_GB2312" w:cs="仿宋_GB2312"/>
                <w:color w:val="333333"/>
                <w:sz w:val="28"/>
                <w:szCs w:val="28"/>
              </w:rPr>
            </w:pPr>
            <w:r w:rsidRPr="009B1ECF">
              <w:rPr>
                <w:rFonts w:ascii="仿宋_GB2312" w:eastAsia="仿宋_GB2312" w:hAnsi="仿宋_GB2312" w:cs="仿宋_GB2312" w:hint="eastAsia"/>
                <w:color w:val="333333"/>
                <w:sz w:val="28"/>
                <w:szCs w:val="28"/>
              </w:rPr>
              <w:t>青岛市住房租金支出扣除标准为每月1500元，夫妻双方主要工作城市相同的，只能由一方扣除住房租金支出。</w:t>
            </w:r>
          </w:p>
          <w:p w:rsidR="006336CA" w:rsidRPr="009B1ECF" w:rsidRDefault="006336CA">
            <w:pPr>
              <w:pStyle w:val="a5"/>
              <w:spacing w:before="0" w:beforeAutospacing="0" w:after="0" w:afterAutospacing="0" w:line="555" w:lineRule="atLeast"/>
              <w:ind w:firstLine="555"/>
              <w:rPr>
                <w:rFonts w:ascii="微软雅黑" w:eastAsia="微软雅黑" w:hAnsi="微软雅黑" w:cs="微软雅黑"/>
                <w:color w:val="333333"/>
                <w:sz w:val="28"/>
                <w:szCs w:val="28"/>
              </w:rPr>
            </w:pPr>
          </w:p>
        </w:tc>
        <w:tc>
          <w:tcPr>
            <w:tcW w:w="396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rsidR="006336CA" w:rsidRPr="009B1ECF" w:rsidRDefault="006336CA">
            <w:pPr>
              <w:spacing w:line="400" w:lineRule="exact"/>
              <w:ind w:firstLineChars="200" w:firstLine="560"/>
              <w:rPr>
                <w:rFonts w:ascii="仿宋_GB2312" w:eastAsia="仿宋_GB2312" w:hAnsi="仿宋_GB2312" w:cs="仿宋_GB2312"/>
                <w:color w:val="333333"/>
                <w:sz w:val="28"/>
                <w:szCs w:val="28"/>
              </w:rPr>
            </w:pPr>
            <w:r w:rsidRPr="009B1ECF">
              <w:rPr>
                <w:rFonts w:ascii="仿宋_GB2312" w:eastAsia="仿宋_GB2312" w:hAnsi="仿宋_GB2312" w:cs="仿宋_GB2312" w:hint="eastAsia"/>
                <w:color w:val="333333"/>
                <w:sz w:val="28"/>
                <w:szCs w:val="28"/>
              </w:rPr>
              <w:t>夫妻同一城市同时享受住房租金扣除。</w:t>
            </w:r>
          </w:p>
          <w:p w:rsidR="006336CA" w:rsidRPr="009B1ECF" w:rsidRDefault="006336CA">
            <w:pPr>
              <w:pStyle w:val="a5"/>
              <w:spacing w:before="0" w:beforeAutospacing="0" w:after="0" w:afterAutospacing="0" w:line="555" w:lineRule="atLeast"/>
              <w:ind w:firstLine="555"/>
              <w:rPr>
                <w:rFonts w:ascii="微软雅黑" w:eastAsia="微软雅黑" w:hAnsi="微软雅黑" w:cs="微软雅黑"/>
                <w:color w:val="333333"/>
                <w:sz w:val="28"/>
                <w:szCs w:val="28"/>
              </w:rPr>
            </w:pPr>
          </w:p>
        </w:tc>
      </w:tr>
      <w:tr w:rsidR="006336CA" w:rsidRPr="009B1ECF" w:rsidTr="006336CA">
        <w:trPr>
          <w:trHeight w:hRule="exact" w:val="1213"/>
          <w:tblCellSpacing w:w="0" w:type="dxa"/>
          <w:jc w:val="center"/>
        </w:trPr>
        <w:tc>
          <w:tcPr>
            <w:tcW w:w="486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rsidR="006336CA" w:rsidRPr="009B1ECF" w:rsidRDefault="006336CA">
            <w:pPr>
              <w:spacing w:line="400" w:lineRule="exact"/>
              <w:ind w:firstLineChars="200" w:firstLine="560"/>
              <w:rPr>
                <w:rFonts w:ascii="仿宋_GB2312" w:eastAsia="仿宋_GB2312" w:hAnsi="仿宋_GB2312" w:cs="仿宋_GB2312"/>
                <w:color w:val="333333"/>
                <w:sz w:val="28"/>
                <w:szCs w:val="28"/>
              </w:rPr>
            </w:pPr>
            <w:r w:rsidRPr="009B1ECF">
              <w:rPr>
                <w:rFonts w:ascii="仿宋_GB2312" w:eastAsia="仿宋_GB2312" w:hAnsi="仿宋_GB2312" w:cs="仿宋_GB2312" w:hint="eastAsia"/>
                <w:color w:val="333333"/>
                <w:sz w:val="28"/>
                <w:szCs w:val="28"/>
              </w:rPr>
              <w:t>夫妻双方在一个纳税年度内不能同时分别享受住房贷款利息和住房租金专项附加扣除。</w:t>
            </w:r>
          </w:p>
          <w:p w:rsidR="006336CA" w:rsidRPr="009B1ECF" w:rsidRDefault="006336CA">
            <w:pPr>
              <w:pStyle w:val="a5"/>
              <w:spacing w:before="0" w:beforeAutospacing="0" w:after="0" w:afterAutospacing="0" w:line="555" w:lineRule="atLeast"/>
              <w:ind w:firstLine="555"/>
              <w:rPr>
                <w:rFonts w:ascii="微软雅黑" w:eastAsia="微软雅黑" w:hAnsi="微软雅黑" w:cs="微软雅黑"/>
                <w:color w:val="333333"/>
                <w:sz w:val="28"/>
                <w:szCs w:val="28"/>
              </w:rPr>
            </w:pPr>
          </w:p>
        </w:tc>
        <w:tc>
          <w:tcPr>
            <w:tcW w:w="396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rsidR="006336CA" w:rsidRPr="009B1ECF" w:rsidRDefault="006336CA">
            <w:pPr>
              <w:spacing w:line="400" w:lineRule="exact"/>
              <w:ind w:firstLineChars="200" w:firstLine="560"/>
              <w:rPr>
                <w:rFonts w:ascii="仿宋_GB2312" w:eastAsia="仿宋_GB2312" w:hAnsi="仿宋_GB2312" w:cs="仿宋_GB2312"/>
                <w:color w:val="333333"/>
                <w:sz w:val="28"/>
                <w:szCs w:val="28"/>
              </w:rPr>
            </w:pPr>
            <w:r w:rsidRPr="009B1ECF">
              <w:rPr>
                <w:rFonts w:ascii="仿宋_GB2312" w:eastAsia="仿宋_GB2312" w:hAnsi="仿宋_GB2312" w:cs="仿宋_GB2312" w:hint="eastAsia"/>
                <w:color w:val="333333"/>
                <w:sz w:val="28"/>
                <w:szCs w:val="28"/>
              </w:rPr>
              <w:t>夫妻同时享受住房租金和贷款利息。</w:t>
            </w:r>
          </w:p>
          <w:p w:rsidR="006336CA" w:rsidRPr="009B1ECF" w:rsidRDefault="006336CA">
            <w:pPr>
              <w:pStyle w:val="a5"/>
              <w:spacing w:before="0" w:beforeAutospacing="0" w:after="0" w:afterAutospacing="0" w:line="555" w:lineRule="atLeast"/>
              <w:ind w:firstLine="555"/>
              <w:rPr>
                <w:rFonts w:ascii="微软雅黑" w:eastAsia="微软雅黑" w:hAnsi="微软雅黑" w:cs="微软雅黑"/>
                <w:color w:val="333333"/>
                <w:sz w:val="28"/>
                <w:szCs w:val="28"/>
              </w:rPr>
            </w:pPr>
          </w:p>
        </w:tc>
      </w:tr>
      <w:tr w:rsidR="006336CA" w:rsidRPr="009B1ECF" w:rsidTr="006336CA">
        <w:trPr>
          <w:trHeight w:hRule="exact" w:val="1610"/>
          <w:tblCellSpacing w:w="0" w:type="dxa"/>
          <w:jc w:val="center"/>
        </w:trPr>
        <w:tc>
          <w:tcPr>
            <w:tcW w:w="4860" w:type="dxa"/>
            <w:tcBorders>
              <w:top w:val="single" w:sz="4" w:space="0" w:color="auto"/>
              <w:left w:val="single" w:sz="4" w:space="0" w:color="auto"/>
              <w:bottom w:val="single" w:sz="6" w:space="0" w:color="auto"/>
              <w:right w:val="single" w:sz="4" w:space="0" w:color="auto"/>
            </w:tcBorders>
            <w:shd w:val="clear" w:color="auto" w:fill="FFFFFF"/>
            <w:tcMar>
              <w:top w:w="0" w:type="dxa"/>
              <w:left w:w="105" w:type="dxa"/>
              <w:bottom w:w="0" w:type="dxa"/>
              <w:right w:w="105" w:type="dxa"/>
            </w:tcMar>
          </w:tcPr>
          <w:p w:rsidR="006336CA" w:rsidRPr="009B1ECF" w:rsidRDefault="006336CA">
            <w:pPr>
              <w:spacing w:line="400" w:lineRule="exact"/>
              <w:ind w:firstLineChars="200" w:firstLine="560"/>
              <w:rPr>
                <w:rFonts w:ascii="仿宋_GB2312" w:eastAsia="仿宋_GB2312" w:hAnsi="仿宋_GB2312" w:cs="仿宋_GB2312"/>
                <w:color w:val="333333"/>
                <w:sz w:val="28"/>
                <w:szCs w:val="28"/>
              </w:rPr>
            </w:pPr>
            <w:r w:rsidRPr="009B1ECF">
              <w:rPr>
                <w:rFonts w:ascii="仿宋_GB2312" w:eastAsia="仿宋_GB2312" w:hAnsi="仿宋_GB2312" w:cs="仿宋_GB2312" w:hint="eastAsia"/>
                <w:color w:val="333333"/>
                <w:sz w:val="28"/>
                <w:szCs w:val="28"/>
              </w:rPr>
              <w:t>纳税人为非独生子女的，由其与兄弟姐妹分摊每月2000元的扣除额度，每人分摊的额度不能超过每月1000元。</w:t>
            </w:r>
          </w:p>
          <w:p w:rsidR="006336CA" w:rsidRPr="009B1ECF" w:rsidRDefault="006336CA">
            <w:pPr>
              <w:pStyle w:val="a5"/>
              <w:spacing w:before="0" w:beforeAutospacing="0" w:after="0" w:afterAutospacing="0" w:line="555" w:lineRule="atLeast"/>
              <w:ind w:firstLine="555"/>
              <w:rPr>
                <w:rFonts w:ascii="微软雅黑" w:eastAsia="微软雅黑" w:hAnsi="微软雅黑" w:cs="微软雅黑"/>
                <w:color w:val="333333"/>
                <w:sz w:val="28"/>
                <w:szCs w:val="28"/>
              </w:rPr>
            </w:pPr>
          </w:p>
        </w:tc>
        <w:tc>
          <w:tcPr>
            <w:tcW w:w="3960" w:type="dxa"/>
            <w:tcBorders>
              <w:top w:val="single" w:sz="4" w:space="0" w:color="auto"/>
              <w:left w:val="single" w:sz="4" w:space="0" w:color="auto"/>
              <w:bottom w:val="single" w:sz="6" w:space="0" w:color="auto"/>
              <w:right w:val="single" w:sz="4" w:space="0" w:color="auto"/>
            </w:tcBorders>
            <w:shd w:val="clear" w:color="auto" w:fill="FFFFFF"/>
            <w:tcMar>
              <w:top w:w="0" w:type="dxa"/>
              <w:left w:w="105" w:type="dxa"/>
              <w:bottom w:w="0" w:type="dxa"/>
              <w:right w:w="105" w:type="dxa"/>
            </w:tcMar>
          </w:tcPr>
          <w:p w:rsidR="006336CA" w:rsidRPr="009B1ECF" w:rsidRDefault="006336CA">
            <w:pPr>
              <w:spacing w:line="400" w:lineRule="exact"/>
              <w:ind w:firstLineChars="200" w:firstLine="560"/>
              <w:rPr>
                <w:rFonts w:ascii="仿宋_GB2312" w:eastAsia="仿宋_GB2312" w:hAnsi="仿宋_GB2312" w:cs="仿宋_GB2312"/>
                <w:color w:val="333333"/>
                <w:sz w:val="28"/>
                <w:szCs w:val="28"/>
              </w:rPr>
            </w:pPr>
            <w:r w:rsidRPr="009B1ECF">
              <w:rPr>
                <w:rFonts w:ascii="仿宋_GB2312" w:eastAsia="仿宋_GB2312" w:hAnsi="仿宋_GB2312" w:cs="仿宋_GB2312" w:hint="eastAsia"/>
                <w:color w:val="333333"/>
                <w:sz w:val="28"/>
                <w:szCs w:val="28"/>
              </w:rPr>
              <w:t>子女们对同一个老人享受扣除合计额超过2000元。</w:t>
            </w:r>
          </w:p>
          <w:p w:rsidR="006336CA" w:rsidRPr="009B1ECF" w:rsidRDefault="006336CA">
            <w:pPr>
              <w:pStyle w:val="a5"/>
              <w:spacing w:before="0" w:beforeAutospacing="0" w:after="0" w:afterAutospacing="0" w:line="555" w:lineRule="atLeast"/>
              <w:ind w:firstLine="555"/>
              <w:rPr>
                <w:rFonts w:ascii="微软雅黑" w:eastAsia="微软雅黑" w:hAnsi="微软雅黑" w:cs="微软雅黑"/>
                <w:color w:val="333333"/>
                <w:sz w:val="28"/>
                <w:szCs w:val="28"/>
              </w:rPr>
            </w:pPr>
          </w:p>
        </w:tc>
      </w:tr>
    </w:tbl>
    <w:p w:rsidR="006336CA" w:rsidRDefault="006336CA" w:rsidP="006336CA">
      <w:pPr>
        <w:spacing w:line="4800" w:lineRule="auto"/>
        <w:rPr>
          <w:rFonts w:ascii="仿宋_GB2312" w:eastAsia="仿宋_GB2312" w:hAnsi="仿宋_GB2312" w:cs="仿宋_GB2312"/>
          <w:sz w:val="30"/>
          <w:szCs w:val="30"/>
        </w:rPr>
      </w:pPr>
    </w:p>
    <w:p w:rsidR="006336CA" w:rsidRPr="006336CA" w:rsidRDefault="006336CA" w:rsidP="00634ACA">
      <w:pPr>
        <w:pStyle w:val="a5"/>
        <w:shd w:val="clear" w:color="auto" w:fill="FFFFFF"/>
        <w:spacing w:beforeLines="50" w:before="156" w:beforeAutospacing="0" w:afterLines="50" w:after="156" w:afterAutospacing="0" w:line="560" w:lineRule="exact"/>
      </w:pPr>
    </w:p>
    <w:sectPr w:rsidR="006336CA" w:rsidRPr="006336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F46" w:rsidRDefault="000C2F46" w:rsidP="00A42082">
      <w:r>
        <w:separator/>
      </w:r>
    </w:p>
  </w:endnote>
  <w:endnote w:type="continuationSeparator" w:id="0">
    <w:p w:rsidR="000C2F46" w:rsidRDefault="000C2F46" w:rsidP="00A42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F46" w:rsidRDefault="000C2F46" w:rsidP="00A42082">
      <w:r>
        <w:separator/>
      </w:r>
    </w:p>
  </w:footnote>
  <w:footnote w:type="continuationSeparator" w:id="0">
    <w:p w:rsidR="000C2F46" w:rsidRDefault="000C2F46" w:rsidP="00A420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C5E4959"/>
    <w:multiLevelType w:val="singleLevel"/>
    <w:tmpl w:val="9C5E4959"/>
    <w:lvl w:ilvl="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9D8"/>
    <w:rsid w:val="00040099"/>
    <w:rsid w:val="000C2F46"/>
    <w:rsid w:val="006239D8"/>
    <w:rsid w:val="006336CA"/>
    <w:rsid w:val="00634ACA"/>
    <w:rsid w:val="009B1ECF"/>
    <w:rsid w:val="00A42082"/>
    <w:rsid w:val="00D62453"/>
    <w:rsid w:val="00E16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7947C9-9310-4434-807F-5A24E345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20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2082"/>
    <w:rPr>
      <w:sz w:val="18"/>
      <w:szCs w:val="18"/>
    </w:rPr>
  </w:style>
  <w:style w:type="paragraph" w:styleId="a4">
    <w:name w:val="footer"/>
    <w:basedOn w:val="a"/>
    <w:link w:val="Char0"/>
    <w:uiPriority w:val="99"/>
    <w:unhideWhenUsed/>
    <w:rsid w:val="00A42082"/>
    <w:pPr>
      <w:tabs>
        <w:tab w:val="center" w:pos="4153"/>
        <w:tab w:val="right" w:pos="8306"/>
      </w:tabs>
      <w:snapToGrid w:val="0"/>
      <w:jc w:val="left"/>
    </w:pPr>
    <w:rPr>
      <w:sz w:val="18"/>
      <w:szCs w:val="18"/>
    </w:rPr>
  </w:style>
  <w:style w:type="character" w:customStyle="1" w:styleId="Char0">
    <w:name w:val="页脚 Char"/>
    <w:basedOn w:val="a0"/>
    <w:link w:val="a4"/>
    <w:uiPriority w:val="99"/>
    <w:rsid w:val="00A42082"/>
    <w:rPr>
      <w:sz w:val="18"/>
      <w:szCs w:val="18"/>
    </w:rPr>
  </w:style>
  <w:style w:type="paragraph" w:styleId="a5">
    <w:name w:val="Normal (Web)"/>
    <w:basedOn w:val="a"/>
    <w:unhideWhenUsed/>
    <w:rsid w:val="00A4208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198021">
      <w:bodyDiv w:val="1"/>
      <w:marLeft w:val="0"/>
      <w:marRight w:val="0"/>
      <w:marTop w:val="0"/>
      <w:marBottom w:val="0"/>
      <w:divBdr>
        <w:top w:val="none" w:sz="0" w:space="0" w:color="auto"/>
        <w:left w:val="none" w:sz="0" w:space="0" w:color="auto"/>
        <w:bottom w:val="none" w:sz="0" w:space="0" w:color="auto"/>
        <w:right w:val="none" w:sz="0" w:space="0" w:color="auto"/>
      </w:divBdr>
    </w:div>
    <w:div w:id="1497501990">
      <w:bodyDiv w:val="1"/>
      <w:marLeft w:val="0"/>
      <w:marRight w:val="0"/>
      <w:marTop w:val="0"/>
      <w:marBottom w:val="0"/>
      <w:divBdr>
        <w:top w:val="none" w:sz="0" w:space="0" w:color="auto"/>
        <w:left w:val="none" w:sz="0" w:space="0" w:color="auto"/>
        <w:bottom w:val="none" w:sz="0" w:space="0" w:color="auto"/>
        <w:right w:val="none" w:sz="0" w:space="0" w:color="auto"/>
      </w:divBdr>
      <w:divsChild>
        <w:div w:id="1403915916">
          <w:marLeft w:val="0"/>
          <w:marRight w:val="0"/>
          <w:marTop w:val="0"/>
          <w:marBottom w:val="0"/>
          <w:divBdr>
            <w:top w:val="none" w:sz="0" w:space="0" w:color="auto"/>
            <w:left w:val="none" w:sz="0" w:space="0" w:color="auto"/>
            <w:bottom w:val="none" w:sz="0" w:space="0" w:color="auto"/>
            <w:right w:val="none" w:sz="0" w:space="0" w:color="auto"/>
          </w:divBdr>
        </w:div>
        <w:div w:id="185948008">
          <w:marLeft w:val="0"/>
          <w:marRight w:val="0"/>
          <w:marTop w:val="330"/>
          <w:marBottom w:val="0"/>
          <w:divBdr>
            <w:top w:val="none" w:sz="0" w:space="0" w:color="auto"/>
            <w:left w:val="none" w:sz="0" w:space="0" w:color="auto"/>
            <w:bottom w:val="none" w:sz="0" w:space="0" w:color="auto"/>
            <w:right w:val="none" w:sz="0" w:space="0" w:color="auto"/>
          </w:divBdr>
        </w:div>
        <w:div w:id="1069503867">
          <w:marLeft w:val="0"/>
          <w:marRight w:val="0"/>
          <w:marTop w:val="330"/>
          <w:marBottom w:val="0"/>
          <w:divBdr>
            <w:top w:val="none" w:sz="0" w:space="0" w:color="auto"/>
            <w:left w:val="none" w:sz="0" w:space="0" w:color="auto"/>
            <w:bottom w:val="none" w:sz="0" w:space="0" w:color="auto"/>
            <w:right w:val="none" w:sz="0" w:space="0" w:color="auto"/>
          </w:divBdr>
        </w:div>
        <w:div w:id="1755860355">
          <w:marLeft w:val="0"/>
          <w:marRight w:val="0"/>
          <w:marTop w:val="330"/>
          <w:marBottom w:val="0"/>
          <w:divBdr>
            <w:top w:val="none" w:sz="0" w:space="0" w:color="auto"/>
            <w:left w:val="none" w:sz="0" w:space="0" w:color="auto"/>
            <w:bottom w:val="none" w:sz="0" w:space="0" w:color="auto"/>
            <w:right w:val="none" w:sz="0" w:space="0" w:color="auto"/>
          </w:divBdr>
        </w:div>
        <w:div w:id="1191801409">
          <w:marLeft w:val="0"/>
          <w:marRight w:val="0"/>
          <w:marTop w:val="330"/>
          <w:marBottom w:val="0"/>
          <w:divBdr>
            <w:top w:val="none" w:sz="0" w:space="0" w:color="auto"/>
            <w:left w:val="none" w:sz="0" w:space="0" w:color="auto"/>
            <w:bottom w:val="none" w:sz="0" w:space="0" w:color="auto"/>
            <w:right w:val="none" w:sz="0" w:space="0" w:color="auto"/>
          </w:divBdr>
        </w:div>
      </w:divsChild>
    </w:div>
    <w:div w:id="202743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dc:creator>
  <cp:keywords/>
  <dc:description/>
  <cp:lastModifiedBy>zhang</cp:lastModifiedBy>
  <cp:revision>6</cp:revision>
  <dcterms:created xsi:type="dcterms:W3CDTF">2021-12-29T01:08:00Z</dcterms:created>
  <dcterms:modified xsi:type="dcterms:W3CDTF">2021-12-29T01:25:00Z</dcterms:modified>
</cp:coreProperties>
</file>